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 отделе предупреждения  чрезвычайных ситуаций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Управления мероприятий защиты населения и территорий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720"/>
        </w:tabs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tabs>
          <w:tab w:val="left" w:pos="720"/>
        </w:tabs>
        <w:ind w:left="36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предупреждения чрезвычайных ситуаций является структурным подразделением Управления мероприятий защиты населения и территорий ГКУ ТО «ТОСЭР».</w:t>
      </w:r>
    </w:p>
    <w:p w:rsidR="00000000" w:rsidDel="00000000" w:rsidP="00000000" w:rsidRDefault="00000000" w:rsidRPr="00000000" w14:paraId="0000000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своей деятельности отдел руководствуется Конституцией Российской Федерации, законодательными и иными нормативными правовыми и правовыми актами Российской Федерации, приказами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МЧС России, нормативными правовыми и правовыми актами органов государственной власти </w:t>
      </w:r>
      <w:r w:rsidDel="00000000" w:rsidR="00000000" w:rsidRPr="00000000">
        <w:rPr>
          <w:sz w:val="28"/>
          <w:szCs w:val="28"/>
          <w:rtl w:val="0"/>
        </w:rPr>
        <w:t xml:space="preserve">Тюменской области, Уставом ГКУ ТО «ТОСЭР», Положением об Управлении мероприятии защиты населения и территорий  и настоящим Положением.</w:t>
      </w:r>
    </w:p>
    <w:p w:rsidR="00000000" w:rsidDel="00000000" w:rsidP="00000000" w:rsidRDefault="00000000" w:rsidRPr="00000000" w14:paraId="00000008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color w:val="170b07"/>
          <w:sz w:val="28"/>
          <w:szCs w:val="28"/>
          <w:highlight w:val="white"/>
          <w:rtl w:val="0"/>
        </w:rPr>
        <w:t xml:space="preserve">Положение об отделе </w:t>
      </w:r>
      <w:r w:rsidDel="00000000" w:rsidR="00000000" w:rsidRPr="00000000">
        <w:rPr>
          <w:sz w:val="28"/>
          <w:szCs w:val="28"/>
          <w:rtl w:val="0"/>
        </w:rPr>
        <w:t xml:space="preserve">предупреждения чрезвычайных ситуаций </w:t>
      </w:r>
      <w:r w:rsidDel="00000000" w:rsidR="00000000" w:rsidRPr="00000000">
        <w:rPr>
          <w:color w:val="170b07"/>
          <w:sz w:val="28"/>
          <w:szCs w:val="28"/>
          <w:highlight w:val="white"/>
          <w:rtl w:val="0"/>
        </w:rPr>
        <w:t xml:space="preserve">утверждается начальником </w:t>
      </w:r>
      <w:r w:rsidDel="00000000" w:rsidR="00000000" w:rsidRPr="00000000">
        <w:rPr>
          <w:sz w:val="28"/>
          <w:szCs w:val="28"/>
          <w:rtl w:val="0"/>
        </w:rPr>
        <w:t xml:space="preserve">государственного казённого учреждения Тюменской области «Тюменская областная служба экстренного реагирования».</w:t>
      </w:r>
    </w:p>
    <w:p w:rsidR="00000000" w:rsidDel="00000000" w:rsidP="00000000" w:rsidRDefault="00000000" w:rsidRPr="00000000" w14:paraId="00000009">
      <w:pPr>
        <w:ind w:firstLine="720"/>
        <w:rPr>
          <w:sz w:val="28"/>
          <w:szCs w:val="28"/>
        </w:rPr>
      </w:pPr>
      <w:r w:rsidDel="00000000" w:rsidR="00000000" w:rsidRPr="00000000">
        <w:rPr>
          <w:color w:val="170b07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Основные задачи отдела</w:t>
      </w:r>
    </w:p>
    <w:p w:rsidR="00000000" w:rsidDel="00000000" w:rsidP="00000000" w:rsidRDefault="00000000" w:rsidRPr="00000000" w14:paraId="0000000B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- Сбор и анализ поступающей от организаций, учреждений и иных структур территориальной системы мониторинга и прогнозирования чрезвычайных ситуаций информации с целью заблаговременного установления причин возникновения чрезвычайных ситуаций и сценариев их возможного развития;</w:t>
      </w:r>
    </w:p>
    <w:p w:rsidR="00000000" w:rsidDel="00000000" w:rsidP="00000000" w:rsidRDefault="00000000" w:rsidRPr="00000000" w14:paraId="0000000C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мониторинга и анализа ЧС природного характера.</w:t>
      </w:r>
    </w:p>
    <w:p w:rsidR="00000000" w:rsidDel="00000000" w:rsidP="00000000" w:rsidRDefault="00000000" w:rsidRPr="00000000" w14:paraId="0000000D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взаимодействия с соседними территориями по вопросам мониторинга и предупреждения ЧС природного характера.</w:t>
      </w:r>
    </w:p>
    <w:p w:rsidR="00000000" w:rsidDel="00000000" w:rsidP="00000000" w:rsidRDefault="00000000" w:rsidRPr="00000000" w14:paraId="0000000E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создания и деятельности СНЛК.</w:t>
      </w:r>
    </w:p>
    <w:p w:rsidR="00000000" w:rsidDel="00000000" w:rsidP="00000000" w:rsidRDefault="00000000" w:rsidRPr="00000000" w14:paraId="0000000F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 и корректировка информационных ресурсов по разделам, соответствующим направлениям работы отдела.</w:t>
      </w:r>
    </w:p>
    <w:p w:rsidR="00000000" w:rsidDel="00000000" w:rsidP="00000000" w:rsidRDefault="00000000" w:rsidRPr="00000000" w14:paraId="00000010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Разработка, составление и представление прогнозов возможных чрезвычайных ситуаций и их последствий для принятия своевременных управленческих решений, направленных на предупреждение чрезвычайных ситуаций и смягчение их последствий на территории Тюменской области.            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Организационно-методическое руководство и контроль деятельности организаций, учреждений сети наблюдения и лабораторного контроля ГО Тюменской области.</w:t>
      </w:r>
    </w:p>
    <w:p w:rsidR="00000000" w:rsidDel="00000000" w:rsidP="00000000" w:rsidRDefault="00000000" w:rsidRPr="00000000" w14:paraId="00000012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 и  корректировка  плана ликвидации  разлива нефти и нефтепродуктов Тюменской области.</w:t>
      </w:r>
    </w:p>
    <w:p w:rsidR="00000000" w:rsidDel="00000000" w:rsidP="00000000" w:rsidRDefault="00000000" w:rsidRPr="00000000" w14:paraId="00000013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и контроль разработки планов ликвидации нефти и нефтепродуктов органов местного самоуправления.</w:t>
      </w:r>
    </w:p>
    <w:p w:rsidR="00000000" w:rsidDel="00000000" w:rsidP="00000000" w:rsidRDefault="00000000" w:rsidRPr="00000000" w14:paraId="00000014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Разработка и корректировка плана действий по предупреждению и ликвидации чрезвычайных ситуаций области техногенного характера на территории Тюменской области.</w:t>
      </w:r>
    </w:p>
    <w:p w:rsidR="00000000" w:rsidDel="00000000" w:rsidP="00000000" w:rsidRDefault="00000000" w:rsidRPr="00000000" w14:paraId="00000015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 и корректировка плана повышения защищённости критически важных объектов Тюменской области. </w:t>
      </w:r>
    </w:p>
    <w:p w:rsidR="00000000" w:rsidDel="00000000" w:rsidP="00000000" w:rsidRDefault="00000000" w:rsidRPr="00000000" w14:paraId="00000016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 плана первоочередного жизнеобеспечения мероприятий по предупреждению и ликвидации чрезвычайных ситуаций.</w:t>
      </w:r>
    </w:p>
    <w:p w:rsidR="00000000" w:rsidDel="00000000" w:rsidP="00000000" w:rsidRDefault="00000000" w:rsidRPr="00000000" w14:paraId="00000017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 и корректировка перечня потенциально опасных объектов Тюменской области.</w:t>
      </w:r>
    </w:p>
    <w:p w:rsidR="00000000" w:rsidDel="00000000" w:rsidP="00000000" w:rsidRDefault="00000000" w:rsidRPr="00000000" w14:paraId="00000018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разработки и корректировки паспорта безопасности территории Тюменской области.</w:t>
      </w:r>
    </w:p>
    <w:p w:rsidR="00000000" w:rsidDel="00000000" w:rsidP="00000000" w:rsidRDefault="00000000" w:rsidRPr="00000000" w14:paraId="00000019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 и корректировка информационных ресурсов по разделам, соответствующим направлениям работы отдела.</w:t>
      </w:r>
    </w:p>
    <w:p w:rsidR="00000000" w:rsidDel="00000000" w:rsidP="00000000" w:rsidRDefault="00000000" w:rsidRPr="00000000" w14:paraId="0000001A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и контроль подготовки всех категорий населения в области гражданской обороны, защиты населения и территорий от чрезвычайных ситуаций, а также учащихся по основам безопасности жизнедеятельности  в пределах своей компетенции.</w:t>
      </w:r>
    </w:p>
    <w:p w:rsidR="00000000" w:rsidDel="00000000" w:rsidP="00000000" w:rsidRDefault="00000000" w:rsidRPr="00000000" w14:paraId="0000001B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Осуществление сбора и обработки информации по подготовке и обучению всех категорий населения в области гражданской обороны, защиты населения и территорий от чрезвычайных ситуаций на территории Тюменской области в пределах своей компетенции.</w:t>
      </w:r>
    </w:p>
    <w:p w:rsidR="00000000" w:rsidDel="00000000" w:rsidP="00000000" w:rsidRDefault="00000000" w:rsidRPr="00000000" w14:paraId="0000001C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и контроль работы по разработке и изданию учебной литературы, памяток, брошюр по гражданской обороне и обеспечение ими населения.</w:t>
      </w:r>
    </w:p>
    <w:p w:rsidR="00000000" w:rsidDel="00000000" w:rsidP="00000000" w:rsidRDefault="00000000" w:rsidRPr="00000000" w14:paraId="0000001D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и подготовка материалов для ежегодного государственного доклада «О состоянии защиты населения и территорий Российской Федерации от чрезвычайных ситуаций природного и техногенного характера», в части касающейся направлений деятельности отдела.</w:t>
      </w:r>
    </w:p>
    <w:p w:rsidR="00000000" w:rsidDel="00000000" w:rsidP="00000000" w:rsidRDefault="00000000" w:rsidRPr="00000000" w14:paraId="0000001E">
      <w:pPr>
        <w:ind w:left="34" w:firstLine="28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и проведение учебно-методических сборов руководящего состава Тюменской области по подведению итогов функционирования территориальной подсистемы РСЧС и выполнению мероприятий гражданской обороны и постановке задач на следующий год.</w:t>
      </w:r>
    </w:p>
    <w:p w:rsidR="00000000" w:rsidDel="00000000" w:rsidP="00000000" w:rsidRDefault="00000000" w:rsidRPr="00000000" w14:paraId="0000001F">
      <w:pPr>
        <w:spacing w:after="6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lineRule="auto"/>
        <w:jc w:val="both"/>
        <w:rPr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150" w:line="240" w:lineRule="auto"/>
        <w:ind w:left="36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Функции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4" w:before="0" w:line="240" w:lineRule="auto"/>
        <w:ind w:left="0" w:right="75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основными задачами отдел выполняет следующие функции:</w:t>
      </w:r>
    </w:p>
    <w:p w:rsidR="00000000" w:rsidDel="00000000" w:rsidP="00000000" w:rsidRDefault="00000000" w:rsidRPr="00000000" w14:paraId="00000023">
      <w:pPr>
        <w:spacing w:after="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 Подготовка населения Тюменской области в области защиты населения и территорий от чрезвычайных ситуаций.</w:t>
      </w:r>
    </w:p>
    <w:p w:rsidR="00000000" w:rsidDel="00000000" w:rsidP="00000000" w:rsidRDefault="00000000" w:rsidRPr="00000000" w14:paraId="00000024">
      <w:pPr>
        <w:spacing w:after="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Разработка и корректировка планов и паспортов в области защиты  населения и территорий от чрезвычайных ситуаций.</w:t>
      </w:r>
    </w:p>
    <w:p w:rsidR="00000000" w:rsidDel="00000000" w:rsidP="00000000" w:rsidRDefault="00000000" w:rsidRPr="00000000" w14:paraId="00000025">
      <w:pPr>
        <w:spacing w:after="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Осуществление мероприятий по сбору, обработке и обмену информации.  </w:t>
      </w:r>
    </w:p>
    <w:p w:rsidR="00000000" w:rsidDel="00000000" w:rsidP="00000000" w:rsidRDefault="00000000" w:rsidRPr="00000000" w14:paraId="00000026">
      <w:pPr>
        <w:spacing w:after="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Прием, обработка и оперативный анализ данных, получаемых от учреждений СНЛК и передача оперативной информации в органы управления, специально уполномоченные решать задачи в области гражданской обороны, задачи по предупреждению и ликвидации чрезвычайных ситуаций;</w:t>
      </w:r>
    </w:p>
    <w:p w:rsidR="00000000" w:rsidDel="00000000" w:rsidP="00000000" w:rsidRDefault="00000000" w:rsidRPr="00000000" w14:paraId="00000027">
      <w:pPr>
        <w:spacing w:after="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Анализ чрезвычайных ситуаций природного характера, их динамику и последствия на территории Тюменской области;</w:t>
      </w:r>
    </w:p>
    <w:p w:rsidR="00000000" w:rsidDel="00000000" w:rsidP="00000000" w:rsidRDefault="00000000" w:rsidRPr="00000000" w14:paraId="00000028">
      <w:pPr>
        <w:spacing w:after="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Сбор, обработка, анализ и хранение данных об угрозе радиоактивного загрязнения, химического и биологического заражения окружающей среды, возникновения природных пожаров, паводков и других стихийных бедствий;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4" w:before="0" w:line="240" w:lineRule="auto"/>
        <w:ind w:left="0" w:right="7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4" w:before="0" w:line="240" w:lineRule="auto"/>
        <w:ind w:left="0" w:right="7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4. Права</w:t>
      </w:r>
    </w:p>
    <w:p w:rsidR="00000000" w:rsidDel="00000000" w:rsidP="00000000" w:rsidRDefault="00000000" w:rsidRPr="00000000" w14:paraId="0000002B">
      <w:pPr>
        <w:spacing w:after="280" w:before="280" w:lineRule="auto"/>
        <w:ind w:firstLine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Отдел имеет право в установленном порядке: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6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Запрашивать и получать от учреждений и организаций информацию и сведения, необходимые для выполнения возложенных задач в соответствии с постановлением Правительства РФ от 24.03.97 г. №334, постановлением Правительства РФ № 794 от 30.12.03 г., постановлением Правительства РФ от 04.09.2003 г. № 547, приказами МЧС России от 04.11. 2004 № 506, № 484 от 25.10.2004, № 621 от 28.12.2004, № 105 от 28.02.2003г., распоряжением Правительства Тюменской области № 1624-рп от 30.12.2016г.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12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12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Штат</w:t>
      </w:r>
    </w:p>
    <w:p w:rsidR="00000000" w:rsidDel="00000000" w:rsidP="00000000" w:rsidRDefault="00000000" w:rsidRPr="00000000" w14:paraId="0000002F">
      <w:pPr>
        <w:ind w:firstLine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Отдел предупреждения чрезвычайных ситуаций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возглавляет начальник отдела, который назначается и освобождается от должности приказом начальника </w:t>
      </w:r>
      <w:r w:rsidDel="00000000" w:rsidR="00000000" w:rsidRPr="00000000">
        <w:rPr>
          <w:sz w:val="28"/>
          <w:szCs w:val="28"/>
          <w:rtl w:val="0"/>
        </w:rPr>
        <w:t xml:space="preserve">ГКУ ТО «ТОСЭР» по согласованию с начальником Управления мероприятий защиты населения и территорий. </w:t>
      </w:r>
    </w:p>
    <w:p w:rsidR="00000000" w:rsidDel="00000000" w:rsidP="00000000" w:rsidRDefault="00000000" w:rsidRPr="00000000" w14:paraId="00000030">
      <w:pPr>
        <w:spacing w:after="60" w:lineRule="auto"/>
        <w:ind w:firstLine="425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Структура отдела определяется штатным расписанием и включает следующие должности: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567"/>
        </w:tabs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начальник  отдела;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567"/>
        </w:tabs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главные специалисты;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567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ведущий специалист.</w:t>
      </w:r>
    </w:p>
    <w:p w:rsidR="00000000" w:rsidDel="00000000" w:rsidP="00000000" w:rsidRDefault="00000000" w:rsidRPr="00000000" w14:paraId="00000034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Функциональные  обязанности  специалистов разрабатываются начальником отдела и утверждаются начальником ГКУ ТО «ТОСЭР».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2"/>
      <w:numFmt w:val="decimal"/>
      <w:lvlText w:val="%1.%2."/>
      <w:lvlJc w:val="left"/>
      <w:pPr>
        <w:ind w:left="1827" w:hanging="1260"/>
      </w:pPr>
      <w:rPr/>
    </w:lvl>
    <w:lvl w:ilvl="2">
      <w:start w:val="1"/>
      <w:numFmt w:val="decimal"/>
      <w:lvlText w:val="%1.%2.%3."/>
      <w:lvlJc w:val="left"/>
      <w:pPr>
        <w:ind w:left="2034" w:hanging="1260"/>
      </w:pPr>
      <w:rPr/>
    </w:lvl>
    <w:lvl w:ilvl="3">
      <w:start w:val="1"/>
      <w:numFmt w:val="decimal"/>
      <w:lvlText w:val="%1.%2.%3.%4."/>
      <w:lvlJc w:val="left"/>
      <w:pPr>
        <w:ind w:left="2241" w:hanging="1260"/>
      </w:pPr>
      <w:rPr/>
    </w:lvl>
    <w:lvl w:ilvl="4">
      <w:start w:val="1"/>
      <w:numFmt w:val="decimal"/>
      <w:lvlText w:val="%1.%2.%3.%4.%5."/>
      <w:lvlJc w:val="left"/>
      <w:pPr>
        <w:ind w:left="2448" w:hanging="1260"/>
      </w:pPr>
      <w:rPr/>
    </w:lvl>
    <w:lvl w:ilvl="5">
      <w:start w:val="1"/>
      <w:numFmt w:val="decimal"/>
      <w:lvlText w:val="%1.%2.%3.%4.%5.%6."/>
      <w:lvlJc w:val="left"/>
      <w:pPr>
        <w:ind w:left="2835" w:hanging="1440"/>
      </w:pPr>
      <w:rPr/>
    </w:lvl>
    <w:lvl w:ilvl="6">
      <w:start w:val="1"/>
      <w:numFmt w:val="decimal"/>
      <w:lvlText w:val="%1.%2.%3.%4.%5.%6.%7."/>
      <w:lvlJc w:val="left"/>
      <w:pPr>
        <w:ind w:left="3402" w:hanging="1800"/>
      </w:pPr>
      <w:rPr/>
    </w:lvl>
    <w:lvl w:ilvl="7">
      <w:start w:val="1"/>
      <w:numFmt w:val="decimal"/>
      <w:lvlText w:val="%1.%2.%3.%4.%5.%6.%7.%8."/>
      <w:lvlJc w:val="left"/>
      <w:pPr>
        <w:ind w:left="3609" w:hanging="1800.0000000000002"/>
      </w:pPr>
      <w:rPr/>
    </w:lvl>
    <w:lvl w:ilvl="8">
      <w:start w:val="1"/>
      <w:numFmt w:val="decimal"/>
      <w:lvlText w:val="%1.%2.%3.%4.%5.%6.%7.%8.%9."/>
      <w:lvlJc w:val="left"/>
      <w:pPr>
        <w:ind w:left="4176" w:hanging="2160"/>
      </w:pPr>
      <w:rPr/>
    </w:lvl>
  </w:abstractNum>
  <w:abstractNum w:abstractNumId="2">
    <w:lvl w:ilvl="0">
      <w:start w:val="5"/>
      <w:numFmt w:val="bullet"/>
      <w:lvlText w:val="-"/>
      <w:lvlJc w:val="left"/>
      <w:pPr>
        <w:ind w:left="927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